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41DA"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2025年度国家孤独症儿童特殊教育资源中心</w:t>
      </w:r>
    </w:p>
    <w:p w14:paraId="43967769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孤独症研究专项课题指南</w:t>
      </w:r>
    </w:p>
    <w:p w14:paraId="7E6FC72A">
      <w:pPr>
        <w:pStyle w:val="6"/>
        <w:widowControl/>
        <w:adjustRightInd w:val="0"/>
        <w:snapToGrid w:val="0"/>
        <w:spacing w:before="120" w:beforeAutospacing="0" w:after="120" w:afterAutospacing="0" w:line="600" w:lineRule="exact"/>
        <w:ind w:firstLine="640" w:firstLineChars="200"/>
        <w:jc w:val="both"/>
        <w:rPr>
          <w:rFonts w:eastAsia="仿宋_GB2312"/>
          <w:kern w:val="2"/>
          <w:sz w:val="32"/>
          <w:szCs w:val="32"/>
        </w:rPr>
      </w:pPr>
    </w:p>
    <w:p w14:paraId="2138962A">
      <w:pPr>
        <w:pStyle w:val="6"/>
        <w:widowControl/>
        <w:adjustRightInd w:val="0"/>
        <w:snapToGrid w:val="0"/>
        <w:spacing w:before="120" w:beforeAutospacing="0" w:after="120" w:afterAutospacing="0" w:line="600" w:lineRule="exact"/>
        <w:ind w:firstLine="640" w:firstLineChars="200"/>
        <w:jc w:val="both"/>
        <w:rPr>
          <w:rFonts w:eastAsia="仿宋_GB2312"/>
          <w:kern w:val="2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</w:rPr>
        <w:t>国家孤独症儿童特殊教育资源中心</w:t>
      </w:r>
      <w:r>
        <w:rPr>
          <w:rFonts w:eastAsia="仿宋_GB2312"/>
          <w:kern w:val="2"/>
          <w:sz w:val="32"/>
          <w:szCs w:val="32"/>
        </w:rPr>
        <w:t>孤独症</w:t>
      </w:r>
      <w:r>
        <w:rPr>
          <w:rFonts w:eastAsia="仿宋_GB2312"/>
          <w:kern w:val="2"/>
          <w:sz w:val="32"/>
          <w:szCs w:val="32"/>
          <w:lang w:eastAsia="zh"/>
        </w:rPr>
        <w:t>研究</w:t>
      </w:r>
      <w:r>
        <w:rPr>
          <w:rFonts w:eastAsia="仿宋_GB2312"/>
          <w:kern w:val="2"/>
          <w:sz w:val="32"/>
          <w:szCs w:val="32"/>
        </w:rPr>
        <w:t>专项</w:t>
      </w:r>
      <w:r>
        <w:rPr>
          <w:rFonts w:hint="eastAsia" w:eastAsia="仿宋_GB2312"/>
          <w:kern w:val="2"/>
          <w:sz w:val="32"/>
          <w:szCs w:val="32"/>
        </w:rPr>
        <w:t>课题</w:t>
      </w:r>
      <w:r>
        <w:rPr>
          <w:rFonts w:eastAsia="仿宋_GB2312"/>
          <w:kern w:val="2"/>
          <w:sz w:val="32"/>
          <w:szCs w:val="32"/>
        </w:rPr>
        <w:t>包括重点</w:t>
      </w:r>
      <w:r>
        <w:rPr>
          <w:rFonts w:hint="eastAsia" w:eastAsia="仿宋_GB2312"/>
          <w:kern w:val="2"/>
          <w:sz w:val="32"/>
          <w:szCs w:val="32"/>
        </w:rPr>
        <w:t>课题</w:t>
      </w:r>
      <w:r>
        <w:rPr>
          <w:rFonts w:eastAsia="仿宋_GB2312"/>
          <w:kern w:val="2"/>
          <w:sz w:val="32"/>
          <w:szCs w:val="32"/>
        </w:rPr>
        <w:t>和一般</w:t>
      </w:r>
      <w:r>
        <w:rPr>
          <w:rFonts w:hint="eastAsia" w:eastAsia="仿宋_GB2312"/>
          <w:kern w:val="2"/>
          <w:sz w:val="32"/>
          <w:szCs w:val="32"/>
        </w:rPr>
        <w:t>课题</w:t>
      </w:r>
      <w:r>
        <w:rPr>
          <w:rFonts w:eastAsia="仿宋_GB2312"/>
          <w:kern w:val="2"/>
          <w:sz w:val="32"/>
          <w:szCs w:val="32"/>
        </w:rPr>
        <w:t>。申报专项</w:t>
      </w:r>
      <w:r>
        <w:rPr>
          <w:rFonts w:hint="eastAsia" w:eastAsia="仿宋_GB2312"/>
          <w:kern w:val="2"/>
          <w:sz w:val="32"/>
          <w:szCs w:val="32"/>
        </w:rPr>
        <w:t>可</w:t>
      </w:r>
      <w:r>
        <w:rPr>
          <w:rFonts w:eastAsia="仿宋_GB2312"/>
          <w:kern w:val="2"/>
          <w:sz w:val="32"/>
          <w:szCs w:val="32"/>
        </w:rPr>
        <w:t>从指南中选题，并</w:t>
      </w:r>
      <w:r>
        <w:rPr>
          <w:rFonts w:eastAsia="仿宋_GB2312"/>
          <w:kern w:val="2"/>
          <w:sz w:val="32"/>
          <w:szCs w:val="32"/>
          <w:lang w:eastAsia="zh"/>
        </w:rPr>
        <w:t>按照指南意图</w:t>
      </w:r>
      <w:r>
        <w:rPr>
          <w:rFonts w:eastAsia="仿宋_GB2312"/>
          <w:sz w:val="32"/>
          <w:szCs w:val="32"/>
        </w:rPr>
        <w:t>进</w:t>
      </w:r>
      <w:r>
        <w:rPr>
          <w:rFonts w:eastAsia="仿宋_GB2312"/>
          <w:kern w:val="2"/>
          <w:sz w:val="32"/>
          <w:szCs w:val="32"/>
        </w:rPr>
        <w:t>行研究</w:t>
      </w:r>
      <w:r>
        <w:rPr>
          <w:rFonts w:eastAsia="仿宋_GB2312"/>
          <w:sz w:val="32"/>
          <w:szCs w:val="32"/>
        </w:rPr>
        <w:t>设计</w:t>
      </w:r>
      <w:r>
        <w:rPr>
          <w:rFonts w:eastAsia="仿宋_GB2312"/>
          <w:kern w:val="2"/>
          <w:sz w:val="32"/>
          <w:szCs w:val="32"/>
          <w:lang w:eastAsia="zh"/>
        </w:rPr>
        <w:t>。如确有需要，可对指南意图进行适当微调，但不得大幅压缩或改变研究内容。</w:t>
      </w:r>
      <w:r>
        <w:rPr>
          <w:rFonts w:hint="eastAsia" w:eastAsia="仿宋_GB2312"/>
          <w:kern w:val="2"/>
          <w:sz w:val="32"/>
          <w:szCs w:val="32"/>
        </w:rPr>
        <w:t>专项研究主题的范围涵盖自主设定的研究题目，并优先考虑立项指南中列出的选题方向。</w:t>
      </w:r>
      <w:r>
        <w:rPr>
          <w:rFonts w:eastAsia="仿宋_GB2312"/>
          <w:kern w:val="2"/>
          <w:sz w:val="32"/>
          <w:szCs w:val="32"/>
        </w:rPr>
        <w:t>研究期限为1-3年，不得延期。每个</w:t>
      </w:r>
      <w:r>
        <w:rPr>
          <w:rFonts w:hint="eastAsia" w:eastAsia="仿宋_GB2312"/>
          <w:kern w:val="2"/>
          <w:sz w:val="32"/>
          <w:szCs w:val="32"/>
        </w:rPr>
        <w:t>指南</w:t>
      </w:r>
      <w:r>
        <w:rPr>
          <w:rFonts w:eastAsia="仿宋_GB2312"/>
          <w:kern w:val="2"/>
          <w:sz w:val="32"/>
          <w:szCs w:val="32"/>
        </w:rPr>
        <w:t>选题原则上不超过2个立项项目。</w:t>
      </w:r>
      <w:r>
        <w:rPr>
          <w:rFonts w:hint="eastAsia" w:ascii="仿宋" w:hAnsi="仿宋" w:eastAsia="仿宋" w:cs="方正仿宋_GB2312"/>
          <w:color w:val="111111"/>
          <w:sz w:val="32"/>
          <w:szCs w:val="32"/>
        </w:rPr>
        <w:t>除委托课题外，申请人同年度原则上只能立项1项申报课题。</w:t>
      </w:r>
    </w:p>
    <w:p w14:paraId="12E57F22">
      <w:pPr>
        <w:pStyle w:val="6"/>
        <w:widowControl/>
        <w:adjustRightInd w:val="0"/>
        <w:snapToGrid w:val="0"/>
        <w:spacing w:before="120" w:beforeAutospacing="0" w:after="120" w:afterAutospacing="0" w:line="600" w:lineRule="exact"/>
        <w:ind w:firstLine="640" w:firstLineChars="200"/>
        <w:jc w:val="both"/>
        <w:rPr>
          <w:rFonts w:eastAsia="仿宋_GB2312"/>
          <w:kern w:val="2"/>
          <w:sz w:val="32"/>
          <w:szCs w:val="32"/>
        </w:rPr>
      </w:pPr>
    </w:p>
    <w:p w14:paraId="094B05D5">
      <w:pPr>
        <w:pStyle w:val="6"/>
        <w:widowControl/>
        <w:adjustRightInd w:val="0"/>
        <w:snapToGrid w:val="0"/>
        <w:spacing w:before="120" w:beforeAutospacing="0" w:after="120" w:afterAutospacing="0" w:line="600" w:lineRule="exact"/>
        <w:ind w:firstLine="643" w:firstLineChars="200"/>
        <w:jc w:val="both"/>
        <w:rPr>
          <w:rFonts w:eastAsia="仿宋_GB2312"/>
          <w:b/>
          <w:bCs/>
          <w:kern w:val="2"/>
          <w:sz w:val="32"/>
          <w:szCs w:val="32"/>
        </w:rPr>
      </w:pPr>
      <w:r>
        <w:rPr>
          <w:rFonts w:eastAsia="仿宋_GB2312"/>
          <w:b/>
          <w:bCs/>
          <w:kern w:val="2"/>
          <w:sz w:val="32"/>
          <w:szCs w:val="32"/>
        </w:rPr>
        <w:t>1. 孤独症儿童教育现状与需求调查研究</w:t>
      </w:r>
      <w:r>
        <w:rPr>
          <w:rFonts w:hint="eastAsia" w:eastAsia="仿宋_GB2312"/>
          <w:b/>
          <w:bCs/>
          <w:kern w:val="2"/>
          <w:sz w:val="32"/>
          <w:szCs w:val="32"/>
        </w:rPr>
        <w:t>（重点课题）</w:t>
      </w:r>
    </w:p>
    <w:p w14:paraId="1E2B84FD">
      <w:pPr>
        <w:adjustRightInd w:val="0"/>
        <w:snapToGrid w:val="0"/>
        <w:spacing w:before="120" w:after="120"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指南意图：</w:t>
      </w:r>
      <w:r>
        <w:rPr>
          <w:rFonts w:eastAsia="仿宋_GB2312"/>
          <w:sz w:val="32"/>
          <w:szCs w:val="32"/>
        </w:rPr>
        <w:t>（1）厘清孤独症儿童的数量、分布、入学安置等基础数据，掌握孤独症儿童教育的现实底数与区域差异；（2）剖析课程教学、师资队伍、个别化教育计划实施、家校社协同育人等教育现状，提炼典型问题与需求痛点；（3）分析政策执行与地方需求的匹配度及资源缺口；（4）从政策保障、师资培养、课程优化、家校协同等方面分层分类设计孤独症教育发展的路径策略，形成可操作的行动方案。</w:t>
      </w:r>
    </w:p>
    <w:p w14:paraId="069991C4">
      <w:pPr>
        <w:pStyle w:val="6"/>
        <w:widowControl/>
        <w:adjustRightInd w:val="0"/>
        <w:snapToGrid w:val="0"/>
        <w:spacing w:before="120" w:beforeAutospacing="0" w:after="120" w:afterAutospacing="0" w:line="600" w:lineRule="exact"/>
        <w:ind w:firstLine="643" w:firstLineChars="200"/>
        <w:jc w:val="both"/>
        <w:rPr>
          <w:rFonts w:eastAsia="仿宋_GB2312"/>
          <w:b/>
          <w:bCs/>
          <w:kern w:val="2"/>
          <w:sz w:val="32"/>
          <w:szCs w:val="32"/>
        </w:rPr>
      </w:pPr>
      <w:r>
        <w:rPr>
          <w:rFonts w:hint="eastAsia" w:eastAsia="仿宋_GB2312"/>
          <w:b/>
          <w:bCs/>
          <w:kern w:val="2"/>
          <w:sz w:val="32"/>
          <w:szCs w:val="32"/>
        </w:rPr>
        <w:t>2</w:t>
      </w:r>
      <w:r>
        <w:rPr>
          <w:rFonts w:eastAsia="仿宋_GB2312"/>
          <w:b/>
          <w:bCs/>
          <w:kern w:val="2"/>
          <w:sz w:val="32"/>
          <w:szCs w:val="32"/>
        </w:rPr>
        <w:t>. 孤独症儿童未来课堂的构建与适配性支持体系研究</w:t>
      </w:r>
      <w:r>
        <w:rPr>
          <w:rFonts w:hint="eastAsia" w:eastAsia="仿宋_GB2312"/>
          <w:b/>
          <w:bCs/>
          <w:kern w:val="2"/>
          <w:sz w:val="32"/>
          <w:szCs w:val="32"/>
        </w:rPr>
        <w:t>（重点课题）</w:t>
      </w:r>
    </w:p>
    <w:p w14:paraId="4C79B3FD">
      <w:pPr>
        <w:adjustRightInd w:val="0"/>
        <w:snapToGrid w:val="0"/>
        <w:spacing w:before="120" w:after="120"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指南意图：</w:t>
      </w:r>
      <w:r>
        <w:rPr>
          <w:rFonts w:eastAsia="仿宋_GB2312"/>
          <w:sz w:val="32"/>
          <w:szCs w:val="32"/>
        </w:rPr>
        <w:t>（1）结合孤独症本质特点与社会发展趋势，论证孤独症儿童未来课堂的必要性与价值取向；（2）研究孤独症儿童未来课堂的内涵、构成要素及呈现形态；（3）探索人工智能赋能未来课堂实现的可能路径；（4）构建与未来课堂相匹配的支持体系及资源库；（5）验证未来课堂实践应用及推广的有效性。</w:t>
      </w:r>
    </w:p>
    <w:p w14:paraId="73FADC0E">
      <w:pPr>
        <w:pStyle w:val="6"/>
        <w:widowControl/>
        <w:adjustRightInd w:val="0"/>
        <w:snapToGrid w:val="0"/>
        <w:spacing w:before="120" w:beforeAutospacing="0" w:after="120" w:afterAutospacing="0" w:line="600" w:lineRule="exact"/>
        <w:ind w:firstLine="643" w:firstLineChars="200"/>
        <w:jc w:val="both"/>
        <w:rPr>
          <w:rFonts w:eastAsia="仿宋_GB2312"/>
          <w:b/>
          <w:bCs/>
          <w:kern w:val="2"/>
          <w:sz w:val="32"/>
          <w:szCs w:val="32"/>
        </w:rPr>
      </w:pPr>
      <w:r>
        <w:rPr>
          <w:rFonts w:hint="eastAsia" w:eastAsia="仿宋_GB2312"/>
          <w:b/>
          <w:bCs/>
          <w:kern w:val="2"/>
          <w:sz w:val="32"/>
          <w:szCs w:val="32"/>
        </w:rPr>
        <w:t>3</w:t>
      </w:r>
      <w:r>
        <w:rPr>
          <w:rFonts w:eastAsia="仿宋_GB2312"/>
          <w:b/>
          <w:bCs/>
          <w:kern w:val="2"/>
          <w:sz w:val="32"/>
          <w:szCs w:val="32"/>
        </w:rPr>
        <w:t>. 孤独症儿童友好学校建设标准与实施路径研究</w:t>
      </w:r>
      <w:r>
        <w:rPr>
          <w:rFonts w:hint="eastAsia" w:eastAsia="仿宋_GB2312"/>
          <w:b/>
          <w:bCs/>
          <w:kern w:val="2"/>
          <w:sz w:val="32"/>
          <w:szCs w:val="32"/>
        </w:rPr>
        <w:t>（一般课题）</w:t>
      </w:r>
    </w:p>
    <w:p w14:paraId="79D8FB8B">
      <w:pPr>
        <w:adjustRightInd w:val="0"/>
        <w:snapToGrid w:val="0"/>
        <w:spacing w:before="120" w:after="120"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指南意图：</w:t>
      </w:r>
      <w:r>
        <w:rPr>
          <w:rFonts w:eastAsia="仿宋_GB2312"/>
          <w:sz w:val="32"/>
          <w:szCs w:val="32"/>
        </w:rPr>
        <w:t>（1）从环境、课程、师资等方面研制友好学校建设标准；（2）构建友好学校评价指标体系与技术方法；（3）形成区域推广路线图。</w:t>
      </w:r>
    </w:p>
    <w:p w14:paraId="14370A72">
      <w:pPr>
        <w:pStyle w:val="6"/>
        <w:widowControl/>
        <w:adjustRightInd w:val="0"/>
        <w:snapToGrid w:val="0"/>
        <w:spacing w:before="120" w:beforeAutospacing="0" w:after="120" w:afterAutospacing="0" w:line="600" w:lineRule="exact"/>
        <w:ind w:firstLine="643" w:firstLineChars="200"/>
        <w:jc w:val="both"/>
        <w:rPr>
          <w:rFonts w:eastAsia="仿宋_GB2312"/>
          <w:b/>
          <w:bCs/>
          <w:kern w:val="2"/>
          <w:sz w:val="32"/>
          <w:szCs w:val="32"/>
        </w:rPr>
      </w:pPr>
      <w:r>
        <w:rPr>
          <w:rFonts w:hint="eastAsia" w:eastAsia="仿宋_GB2312"/>
          <w:b/>
          <w:bCs/>
          <w:kern w:val="2"/>
          <w:sz w:val="32"/>
          <w:szCs w:val="32"/>
        </w:rPr>
        <w:t>4</w:t>
      </w:r>
      <w:r>
        <w:rPr>
          <w:rFonts w:eastAsia="仿宋_GB2312"/>
          <w:b/>
          <w:bCs/>
          <w:kern w:val="2"/>
          <w:sz w:val="32"/>
          <w:szCs w:val="32"/>
        </w:rPr>
        <w:t>. 基于孤独症儿童关键能力的教育评估工具开发与应用研究</w:t>
      </w:r>
      <w:r>
        <w:rPr>
          <w:rFonts w:hint="eastAsia" w:eastAsia="仿宋_GB2312"/>
          <w:b/>
          <w:bCs/>
          <w:kern w:val="2"/>
          <w:sz w:val="32"/>
          <w:szCs w:val="32"/>
        </w:rPr>
        <w:t>（一般课题）</w:t>
      </w:r>
    </w:p>
    <w:p w14:paraId="1E987023">
      <w:pPr>
        <w:adjustRightInd w:val="0"/>
        <w:snapToGrid w:val="0"/>
        <w:spacing w:before="120" w:after="120"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指南意图：</w:t>
      </w:r>
      <w:r>
        <w:rPr>
          <w:rFonts w:eastAsia="仿宋_GB2312"/>
          <w:sz w:val="32"/>
          <w:szCs w:val="32"/>
        </w:rPr>
        <w:t>（1）系统解析孤独症儿童关键能力的结构框架与核心评估指标；（2）围绕关键能力发展需求，开发结构完整、操作规范的教育观察评估工具体系；（3）在教育实践中应用评估工具，持续追踪孤独症儿童的发展状态并提供个别化教育建议。</w:t>
      </w:r>
    </w:p>
    <w:p w14:paraId="5912B572">
      <w:pPr>
        <w:adjustRightInd w:val="0"/>
        <w:snapToGrid w:val="0"/>
        <w:spacing w:before="120" w:after="120" w:line="60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5</w:t>
      </w:r>
      <w:r>
        <w:rPr>
          <w:rFonts w:eastAsia="仿宋_GB2312"/>
          <w:b/>
          <w:bCs/>
          <w:sz w:val="32"/>
          <w:szCs w:val="32"/>
        </w:rPr>
        <w:t>. 孤独症儿童社交沟通课程资源开发研究</w:t>
      </w:r>
      <w:r>
        <w:rPr>
          <w:rFonts w:hint="eastAsia" w:eastAsia="仿宋_GB2312"/>
          <w:b/>
          <w:bCs/>
          <w:sz w:val="32"/>
          <w:szCs w:val="32"/>
        </w:rPr>
        <w:t>（一般课题）</w:t>
      </w:r>
    </w:p>
    <w:p w14:paraId="3DC7C23D">
      <w:pPr>
        <w:adjustRightInd w:val="0"/>
        <w:snapToGrid w:val="0"/>
        <w:spacing w:before="120" w:after="120" w:line="60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指南意图：</w:t>
      </w:r>
      <w:r>
        <w:rPr>
          <w:rFonts w:eastAsia="仿宋_GB2312"/>
          <w:sz w:val="32"/>
          <w:szCs w:val="32"/>
        </w:rPr>
        <w:t>（1）解析孤独症儿童社交沟通课程现状，明确开发方向；（2）构建分阶分类的社交沟通课程目标体系与内容框架；（3）开发适合孤独症儿童特点与需求的社交沟通课程资源库，适配不同教育场景。</w:t>
      </w:r>
    </w:p>
    <w:p w14:paraId="3373603F">
      <w:pPr>
        <w:adjustRightInd w:val="0"/>
        <w:snapToGrid w:val="0"/>
        <w:spacing w:before="120" w:after="120" w:line="60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6</w:t>
      </w:r>
      <w:r>
        <w:rPr>
          <w:rFonts w:eastAsia="仿宋_GB2312"/>
          <w:b/>
          <w:bCs/>
          <w:sz w:val="32"/>
          <w:szCs w:val="32"/>
        </w:rPr>
        <w:t>. 孤独症儿童感觉管理课程资源开发研究</w:t>
      </w:r>
      <w:r>
        <w:rPr>
          <w:rFonts w:hint="eastAsia" w:eastAsia="仿宋_GB2312"/>
          <w:b/>
          <w:bCs/>
          <w:sz w:val="32"/>
          <w:szCs w:val="32"/>
        </w:rPr>
        <w:t>（一般课题）</w:t>
      </w:r>
    </w:p>
    <w:p w14:paraId="6C4032AA">
      <w:pPr>
        <w:adjustRightInd w:val="0"/>
        <w:snapToGrid w:val="0"/>
        <w:spacing w:before="120" w:after="120"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指南意图：</w:t>
      </w:r>
      <w:r>
        <w:rPr>
          <w:rFonts w:eastAsia="仿宋_GB2312"/>
          <w:sz w:val="32"/>
          <w:szCs w:val="32"/>
        </w:rPr>
        <w:t>（1） 针对孤独症儿童的感觉特征，设计感觉管理课程适配标准；（2）开发多模态感觉管理课程资源，主要针对学校场景；（3）构建包含调节、干预、维持等多层级目标的资源支持体系。</w:t>
      </w:r>
    </w:p>
    <w:p w14:paraId="75E4A588">
      <w:pPr>
        <w:pStyle w:val="6"/>
        <w:widowControl/>
        <w:adjustRightInd w:val="0"/>
        <w:snapToGrid w:val="0"/>
        <w:spacing w:before="120" w:beforeAutospacing="0" w:after="120" w:afterAutospacing="0" w:line="600" w:lineRule="exact"/>
        <w:ind w:firstLine="643" w:firstLineChars="200"/>
        <w:jc w:val="both"/>
        <w:rPr>
          <w:rFonts w:eastAsia="仿宋_GB2312"/>
          <w:b/>
          <w:bCs/>
          <w:kern w:val="2"/>
          <w:sz w:val="32"/>
          <w:szCs w:val="32"/>
        </w:rPr>
      </w:pPr>
      <w:r>
        <w:rPr>
          <w:rFonts w:hint="eastAsia" w:eastAsia="仿宋_GB2312"/>
          <w:b/>
          <w:bCs/>
          <w:kern w:val="2"/>
          <w:sz w:val="32"/>
          <w:szCs w:val="32"/>
        </w:rPr>
        <w:t>7</w:t>
      </w:r>
      <w:r>
        <w:rPr>
          <w:rFonts w:eastAsia="仿宋_GB2312"/>
          <w:b/>
          <w:bCs/>
          <w:kern w:val="2"/>
          <w:sz w:val="32"/>
          <w:szCs w:val="32"/>
        </w:rPr>
        <w:t>. 基于孤独症儿童发展优势的</w:t>
      </w:r>
      <w:r>
        <w:rPr>
          <w:rFonts w:hint="eastAsia" w:eastAsia="仿宋_GB2312"/>
          <w:b/>
          <w:bCs/>
          <w:kern w:val="2"/>
          <w:sz w:val="32"/>
          <w:szCs w:val="32"/>
        </w:rPr>
        <w:t>“</w:t>
      </w:r>
      <w:r>
        <w:rPr>
          <w:rFonts w:eastAsia="仿宋_GB2312"/>
          <w:b/>
          <w:bCs/>
          <w:kern w:val="2"/>
          <w:sz w:val="32"/>
          <w:szCs w:val="32"/>
        </w:rPr>
        <w:t>我能</w:t>
      </w:r>
      <w:r>
        <w:rPr>
          <w:rFonts w:hint="eastAsia" w:eastAsia="仿宋_GB2312"/>
          <w:b/>
          <w:bCs/>
          <w:kern w:val="2"/>
          <w:sz w:val="32"/>
          <w:szCs w:val="32"/>
        </w:rPr>
        <w:t>”</w:t>
      </w:r>
      <w:r>
        <w:rPr>
          <w:rFonts w:eastAsia="仿宋_GB2312"/>
          <w:b/>
          <w:bCs/>
          <w:kern w:val="2"/>
          <w:sz w:val="32"/>
          <w:szCs w:val="32"/>
        </w:rPr>
        <w:t>系列绘本研发与应用研究</w:t>
      </w:r>
      <w:r>
        <w:rPr>
          <w:rFonts w:hint="eastAsia" w:eastAsia="仿宋_GB2312"/>
          <w:b/>
          <w:bCs/>
          <w:kern w:val="2"/>
          <w:sz w:val="32"/>
          <w:szCs w:val="32"/>
        </w:rPr>
        <w:t>（一般课题）</w:t>
      </w:r>
    </w:p>
    <w:p w14:paraId="5FAF4352">
      <w:pPr>
        <w:adjustRightInd w:val="0"/>
        <w:snapToGrid w:val="0"/>
        <w:spacing w:before="120" w:after="120"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指南意图：</w:t>
      </w:r>
      <w:r>
        <w:rPr>
          <w:rFonts w:eastAsia="仿宋_GB2312"/>
          <w:sz w:val="32"/>
          <w:szCs w:val="32"/>
        </w:rPr>
        <w:t>（1）结合孤独症儿童认知特点与发展优势，设计覆盖不同能力层级的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我能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主题系列绘本；（2）基于儿童行为数据构建个性化适配机制，融合多模态交互技术，动态调整绘本内容，增强绘本互动性与儿童参与度；（3）验证绘本对孤独症儿童发展的促进作用。</w:t>
      </w:r>
    </w:p>
    <w:p w14:paraId="61B696CD">
      <w:pPr>
        <w:adjustRightInd w:val="0"/>
        <w:snapToGrid w:val="0"/>
        <w:spacing w:before="120" w:after="120" w:line="60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8</w:t>
      </w:r>
      <w:r>
        <w:rPr>
          <w:rFonts w:eastAsia="仿宋_GB2312"/>
          <w:b/>
          <w:bCs/>
          <w:sz w:val="32"/>
          <w:szCs w:val="32"/>
        </w:rPr>
        <w:t>. 孤独症儿童沉浸式学习环境创设与应用研究</w:t>
      </w:r>
      <w:r>
        <w:rPr>
          <w:rFonts w:hint="eastAsia" w:eastAsia="仿宋_GB2312"/>
          <w:b/>
          <w:bCs/>
          <w:sz w:val="32"/>
          <w:szCs w:val="32"/>
        </w:rPr>
        <w:t>（一般课题）</w:t>
      </w:r>
    </w:p>
    <w:p w14:paraId="34C41389">
      <w:pPr>
        <w:pStyle w:val="6"/>
        <w:widowControl/>
        <w:adjustRightInd w:val="0"/>
        <w:snapToGrid w:val="0"/>
        <w:spacing w:before="120" w:beforeAutospacing="0" w:after="120" w:afterAutospacing="0" w:line="60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kern w:val="2"/>
          <w:sz w:val="32"/>
          <w:szCs w:val="32"/>
        </w:rPr>
        <w:t>指南意图：</w:t>
      </w:r>
      <w:r>
        <w:rPr>
          <w:rFonts w:eastAsia="仿宋_GB2312"/>
          <w:kern w:val="2"/>
          <w:sz w:val="32"/>
          <w:szCs w:val="32"/>
        </w:rPr>
        <w:t>（1）研究适用于孤独症儿童集体教学、具有高沉浸式的虚拟场景；（2）能开展个性化、情境化的学习任务，以适配孤独症儿童的学习特点和需求；（3）形成可定制的沉浸式环境资源，以应用于孤独症教育教学，并验证其有效性。</w:t>
      </w:r>
    </w:p>
    <w:sectPr>
      <w:headerReference r:id="rId3" w:type="default"/>
      <w:footerReference r:id="rId4" w:type="default"/>
      <w:pgSz w:w="11906" w:h="16838"/>
      <w:pgMar w:top="1928" w:right="1418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4FA6C40-ADC1-4F6C-B085-EE8B32AB03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1BB6C7-7340-4657-BF26-B7BDEF169A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2E49B0-6F7C-40A3-8EBC-8FF58626FCF9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08A66484-FF56-49A9-A283-41C21315B2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CD1C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A5E30">
                          <w:pPr>
                            <w:pStyle w:val="4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6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A5E30">
                    <w:pPr>
                      <w:pStyle w:val="4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第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页 共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6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030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DI0ODAxODY5MzM4ZjBlMzc2OGZkZTYzMzNhMjEifQ=="/>
  </w:docVars>
  <w:rsids>
    <w:rsidRoot w:val="1C437727"/>
    <w:rsid w:val="003C7266"/>
    <w:rsid w:val="00467EE9"/>
    <w:rsid w:val="0051023F"/>
    <w:rsid w:val="00622C9B"/>
    <w:rsid w:val="0074640E"/>
    <w:rsid w:val="007541C7"/>
    <w:rsid w:val="00DC0750"/>
    <w:rsid w:val="00E812C7"/>
    <w:rsid w:val="0136732D"/>
    <w:rsid w:val="0187402D"/>
    <w:rsid w:val="024261A6"/>
    <w:rsid w:val="03175E27"/>
    <w:rsid w:val="034E4899"/>
    <w:rsid w:val="055C3E2F"/>
    <w:rsid w:val="05634CE7"/>
    <w:rsid w:val="05DE61E6"/>
    <w:rsid w:val="080A0D34"/>
    <w:rsid w:val="083E6E23"/>
    <w:rsid w:val="0D837D9E"/>
    <w:rsid w:val="0DE81D45"/>
    <w:rsid w:val="0EB86D02"/>
    <w:rsid w:val="10380E94"/>
    <w:rsid w:val="11353101"/>
    <w:rsid w:val="116B5493"/>
    <w:rsid w:val="123553DF"/>
    <w:rsid w:val="12687B96"/>
    <w:rsid w:val="132B2CF1"/>
    <w:rsid w:val="133004EB"/>
    <w:rsid w:val="141904B5"/>
    <w:rsid w:val="142259AD"/>
    <w:rsid w:val="150B73C1"/>
    <w:rsid w:val="15C56A7A"/>
    <w:rsid w:val="15DA2304"/>
    <w:rsid w:val="197F2511"/>
    <w:rsid w:val="1B55324D"/>
    <w:rsid w:val="1C3564ED"/>
    <w:rsid w:val="1C437727"/>
    <w:rsid w:val="1D6B6159"/>
    <w:rsid w:val="1E5A3411"/>
    <w:rsid w:val="1E5D0198"/>
    <w:rsid w:val="234B111F"/>
    <w:rsid w:val="24622DBD"/>
    <w:rsid w:val="2684130D"/>
    <w:rsid w:val="281D688A"/>
    <w:rsid w:val="2A336250"/>
    <w:rsid w:val="2A4061CA"/>
    <w:rsid w:val="2ACC5EA8"/>
    <w:rsid w:val="2C3B13EC"/>
    <w:rsid w:val="2E43476A"/>
    <w:rsid w:val="2FB452E8"/>
    <w:rsid w:val="30AE4883"/>
    <w:rsid w:val="32207ED7"/>
    <w:rsid w:val="32805DAB"/>
    <w:rsid w:val="33266952"/>
    <w:rsid w:val="34270BD4"/>
    <w:rsid w:val="347831DE"/>
    <w:rsid w:val="35281D65"/>
    <w:rsid w:val="3632560E"/>
    <w:rsid w:val="38BF6507"/>
    <w:rsid w:val="3A617AD4"/>
    <w:rsid w:val="3AD1231B"/>
    <w:rsid w:val="3B2319C9"/>
    <w:rsid w:val="3B5A188F"/>
    <w:rsid w:val="3B7B2249"/>
    <w:rsid w:val="3E4660FB"/>
    <w:rsid w:val="3E5A656F"/>
    <w:rsid w:val="41A07A13"/>
    <w:rsid w:val="425E2DCE"/>
    <w:rsid w:val="42B61B65"/>
    <w:rsid w:val="43C55D6F"/>
    <w:rsid w:val="443F691B"/>
    <w:rsid w:val="45E76FB4"/>
    <w:rsid w:val="465216DC"/>
    <w:rsid w:val="47D95B3E"/>
    <w:rsid w:val="485725BF"/>
    <w:rsid w:val="48C04CFB"/>
    <w:rsid w:val="49F70BF1"/>
    <w:rsid w:val="4ADB57DE"/>
    <w:rsid w:val="4C583BC9"/>
    <w:rsid w:val="4D422183"/>
    <w:rsid w:val="4EED611E"/>
    <w:rsid w:val="4F1D3C9C"/>
    <w:rsid w:val="4F583EE0"/>
    <w:rsid w:val="522E717A"/>
    <w:rsid w:val="531753C2"/>
    <w:rsid w:val="53DD2C05"/>
    <w:rsid w:val="54624EB9"/>
    <w:rsid w:val="59C52172"/>
    <w:rsid w:val="5A0C7DA1"/>
    <w:rsid w:val="5A44753A"/>
    <w:rsid w:val="5D9D624A"/>
    <w:rsid w:val="5E4C19C5"/>
    <w:rsid w:val="5E8C325E"/>
    <w:rsid w:val="5ED846F5"/>
    <w:rsid w:val="5F0B2CFC"/>
    <w:rsid w:val="5F2B6F1B"/>
    <w:rsid w:val="5FF23595"/>
    <w:rsid w:val="619B1B56"/>
    <w:rsid w:val="61C64F79"/>
    <w:rsid w:val="61F761CE"/>
    <w:rsid w:val="62915AEE"/>
    <w:rsid w:val="645C7B76"/>
    <w:rsid w:val="655D514B"/>
    <w:rsid w:val="655E275C"/>
    <w:rsid w:val="68540356"/>
    <w:rsid w:val="68A41BAB"/>
    <w:rsid w:val="6A585D0E"/>
    <w:rsid w:val="6CB95B66"/>
    <w:rsid w:val="6F842B01"/>
    <w:rsid w:val="70085B24"/>
    <w:rsid w:val="71244CA2"/>
    <w:rsid w:val="714F68F5"/>
    <w:rsid w:val="720F46CB"/>
    <w:rsid w:val="733D069E"/>
    <w:rsid w:val="74B84955"/>
    <w:rsid w:val="75765B5E"/>
    <w:rsid w:val="75B3511C"/>
    <w:rsid w:val="77FA5D85"/>
    <w:rsid w:val="78C0202A"/>
    <w:rsid w:val="79A55521"/>
    <w:rsid w:val="7AA9783C"/>
    <w:rsid w:val="7BC65BA9"/>
    <w:rsid w:val="7BCD518A"/>
    <w:rsid w:val="7EA271D1"/>
    <w:rsid w:val="7FAE491F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78958F-BCB8-46AA-90B6-439B3E8D9C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1382</Words>
  <Characters>1395</Characters>
  <Lines>1</Lines>
  <Paragraphs>2</Paragraphs>
  <TotalTime>513</TotalTime>
  <ScaleCrop>false</ScaleCrop>
  <LinksUpToDate>false</LinksUpToDate>
  <CharactersWithSpaces>1404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2024-04-07T01:11:00Z</dcterms:created>
  <dc:creator>初见</dc:creator>
  <cp:lastModifiedBy>阿灰灰</cp:lastModifiedBy>
  <cp:lastPrinted>2025-10-29T02:14:00Z</cp:lastPrinted>
  <dcterms:modified xsi:type="dcterms:W3CDTF">2025-11-10T05:50:19Z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58EF13FC2F3F40DFBE2E3A8F1A20E220_13</vt:lpwstr>
  </property>
  <property fmtid="{D5CDD505-2E9C-101B-9397-08002B2CF9AE}" pid="4" name="KSOTemplateDocerSaveRecord">
    <vt:lpwstr>eyJoZGlkIjoiNmRiZmQyMTcwMzFjZGUzYzhlNzUzOTA0YzNkMDJmOTciLCJ1c2VySWQiOiIyOTI2NjA1NzYifQ==</vt:lpwstr>
  </property>
</Properties>
</file>