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哈尔滨幼儿师范高等专科学校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轮滑场地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器材采购</w:t>
      </w:r>
    </w:p>
    <w:tbl>
      <w:tblPr>
        <w:tblStyle w:val="7"/>
        <w:tblpPr w:leftFromText="180" w:rightFromText="180" w:vertAnchor="text" w:horzAnchor="page" w:tblpX="420" w:tblpY="852"/>
        <w:tblOverlap w:val="never"/>
        <w:tblW w:w="112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62"/>
        <w:gridCol w:w="732"/>
        <w:gridCol w:w="815"/>
        <w:gridCol w:w="759"/>
        <w:gridCol w:w="994"/>
        <w:gridCol w:w="3676"/>
        <w:gridCol w:w="26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采购内容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技术参数</w:t>
            </w:r>
          </w:p>
        </w:tc>
        <w:tc>
          <w:tcPr>
            <w:tcW w:w="2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悬浮地板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1670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141950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悬浮运动地板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1、改性聚丙烯（改性PP）环保原料，无回料填充，加入抗氧化、抗寒剂等原料，地板具有良好的柔韧性和硬度,表面做圆化处理、镂空，有利于排水。地板外观的颜色均匀一致，无明显色差。无杂质填充，表面无龟裂、气泡、塑化不良、地板正面无毛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360" w:firstLineChars="200"/>
              <w:jc w:val="both"/>
              <w:textAlignment w:val="top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符合GB/T14833-2020《合成材料运动场地面层》面层性能要求，球反弹率≥90%、冲击吸收20-50（%），垂直变形≤3mm、摩擦系数0.4-0.7（μ）、拉伸强度≥0.7Mpa、拉断伸长率≥90%、撕裂强度≥5kN/m、耐磨性≤4.0g。依据GB/T14833-2020《合成材料运动场地面层》面层耐久性能测试（老化时长≥1000小时），拉伸强度≥0.7Mpa、拉断伸长率≥90%、冲击吸收20-50（%）、垂直变形≤3mm。须提供国家认可的检测机构出具的检测报告（测试日期≥1000小时）复印件。（提供全国认证认可信息公共服务平台查询验证网站的报告查询截图，为方便采购人核对报告内容，须提供可下载检测报告的网址或二维码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3、依据GB/T14833-2020《合成材料运动场地面层》老化条件老化（老化时长≥1000小时）后测试；平整度：用300mm直尺测量,场地表面任何位置凹陷不超过2mm；老化后的尺寸变化率：长≤1.5%、宽≤1.5%、厚≤1.5%；老化后外观质量：无断裂、起泡、起鼓、脱皮、空鼓现象。老化前后质量损耗比≤5%。须提供国家认可的检测机构出具的检测报告（测试日期≥1000小时）复印件。（提供全国认证认可信息公共服务平台查询验证网站的报告查询截图，为方便采购人核对报告内容，须提供可下载检测报告的网址或二维码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4、依据GB/T3681.2-2021标准自然暴露试验（测试周期≥6个月），外观无明显变色、无粉化、无开裂、无起泡；灰卡等级≥4级。须提供国家认可的检测机构出具的检测报告（送样日期到签发日期≥6个月）复印件。（提供全国认证认可信息公共服务平台查询验证网站的报告查询截图，为方便采购人核对报告内容，须提供可下载检测报告的网址或二维码。）</w:t>
            </w:r>
          </w:p>
        </w:tc>
        <w:tc>
          <w:tcPr>
            <w:tcW w:w="26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48130" cy="1313815"/>
                  <wp:effectExtent l="0" t="0" r="6350" b="12065"/>
                  <wp:docPr id="1" name="图片 1" descr="e90a50d1ecbdf3fd0db36ab39e48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0a50d1ecbdf3fd0db36ab39e489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41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131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41145" cy="1308100"/>
                  <wp:effectExtent l="0" t="0" r="13335" b="2540"/>
                  <wp:docPr id="2" name="图片 2" descr="d683ad494c27c94f14f6eca055cfc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83ad494c27c94f14f6eca055cfc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58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41145" cy="1308100"/>
                  <wp:effectExtent l="0" t="0" r="13335" b="2540"/>
                  <wp:docPr id="4" name="图片 4" descr="d683ad494c27c94f14f6eca055cfc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83ad494c27c94f14f6eca055cfc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589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145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48130" cy="1313815"/>
                  <wp:effectExtent l="0" t="0" r="6350" b="12065"/>
                  <wp:docPr id="3" name="图片 3" descr="e90a50d1ecbdf3fd0db36ab39e48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90a50d1ecbdf3fd0db36ab39e489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416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131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围栏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38000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高度：1.2m，主立柱采用60*60*2mm优质方管，间隔3m，围栏横梁采用60*40*2mm,立柱采用30*30*2mm优质方管焊接而成，颜色墨绿色，环保静电喷涂工艺。</w:t>
            </w:r>
          </w:p>
        </w:tc>
        <w:tc>
          <w:tcPr>
            <w:tcW w:w="26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防护垫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14000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高度：1m，厚度20㎜，环保耐寒、耐老化外套，紧贴围栏安装</w:t>
            </w:r>
          </w:p>
        </w:tc>
        <w:tc>
          <w:tcPr>
            <w:tcW w:w="26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场地休闲椅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长度1200㎜，宽度450㎜，高度420㎜，铸铝腿由圆钢连接，凳面由5条塑木条组成，承重不低于400㎏</w:t>
            </w:r>
          </w:p>
        </w:tc>
        <w:tc>
          <w:tcPr>
            <w:tcW w:w="26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</w:p>
    <w:p>
      <w:pPr>
        <w:autoSpaceDE w:val="0"/>
        <w:spacing w:line="580" w:lineRule="exact"/>
        <w:rPr>
          <w:rFonts w:ascii="仿宋_GB2312" w:hAnsi="Calibri" w:eastAsia="仿宋_GB2312" w:cs="仿宋_GB2312"/>
          <w:color w:val="FF0000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一、采购预算：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199450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元</w:t>
      </w:r>
    </w:p>
    <w:p>
      <w:pPr>
        <w:autoSpaceDE w:val="0"/>
        <w:spacing w:line="58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二、要求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1、免费送货安装，质保期一年。</w:t>
      </w:r>
    </w:p>
    <w:p>
      <w:pPr>
        <w:autoSpaceDE w:val="0"/>
        <w:spacing w:line="58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三、交付时</w:t>
      </w:r>
      <w:bookmarkStart w:id="0" w:name="_GoBack"/>
      <w:bookmarkEnd w:id="0"/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间</w:t>
      </w:r>
    </w:p>
    <w:p>
      <w:pPr>
        <w:autoSpaceDE w:val="0"/>
        <w:spacing w:line="58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合同签订后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个日历日内完成。</w:t>
      </w:r>
    </w:p>
    <w:p>
      <w:pPr>
        <w:autoSpaceDE w:val="0"/>
        <w:spacing w:line="58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四、付款方式</w:t>
      </w:r>
    </w:p>
    <w:p>
      <w:pPr>
        <w:pStyle w:val="2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验收合格后一次性付款。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五、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其他</w:t>
      </w:r>
    </w:p>
    <w:p>
      <w:pPr>
        <w:autoSpaceDE w:val="0"/>
        <w:spacing w:line="58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1.报价包含送货、安装、等全部费用。  </w:t>
      </w:r>
    </w:p>
    <w:p>
      <w:pPr>
        <w:autoSpaceDE w:val="0"/>
        <w:spacing w:line="580" w:lineRule="exac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2.质保期：1年</w:t>
      </w:r>
    </w:p>
    <w:p>
      <w:pPr>
        <w:jc w:val="left"/>
        <w:rPr>
          <w:rFonts w:hint="eastAsia" w:ascii="仿宋_GB2312" w:hAnsi="Calibri" w:eastAsia="仿宋_GB2312" w:cs="仿宋_GB2312"/>
          <w:b/>
          <w:bCs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3.维修售后质保承诺：质保期内出现任何质量问题，供应商须无条件退换，甲方不承担任何费用</w:t>
      </w:r>
      <w:r>
        <w:rPr>
          <w:rFonts w:hint="eastAsia" w:ascii="仿宋_GB2312" w:hAnsi="Calibri" w:eastAsia="仿宋_GB2312" w:cs="仿宋_GB2312"/>
          <w:b/>
          <w:bCs/>
          <w:sz w:val="32"/>
          <w:szCs w:val="32"/>
          <w:lang w:bidi="ar"/>
        </w:rPr>
        <w:t>（须在响应文件内做出承诺）。</w:t>
      </w:r>
    </w:p>
    <w:p>
      <w:pPr>
        <w:jc w:val="left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4.提供全国认证认可信息公共服务平台查询验证网站的报告查询截图，为方便采购人核对报告内容，须提供可下载检测报告的网址或二维码。</w:t>
      </w:r>
      <w:r>
        <w:rPr>
          <w:rFonts w:hint="eastAsia" w:ascii="仿宋_GB2312" w:hAnsi="Calibri" w:eastAsia="仿宋_GB2312" w:cs="仿宋_GB2312"/>
          <w:b/>
          <w:bCs/>
          <w:sz w:val="32"/>
          <w:szCs w:val="32"/>
          <w:lang w:bidi="ar"/>
        </w:rPr>
        <w:t>（须在响应文件内</w:t>
      </w:r>
      <w:r>
        <w:rPr>
          <w:rFonts w:hint="eastAsia" w:ascii="仿宋_GB2312" w:hAnsi="Calibri" w:eastAsia="仿宋_GB2312" w:cs="仿宋_GB2312"/>
          <w:b/>
          <w:bCs/>
          <w:sz w:val="32"/>
          <w:szCs w:val="32"/>
          <w:lang w:eastAsia="zh-CN" w:bidi="ar"/>
        </w:rPr>
        <w:t>提供</w:t>
      </w:r>
      <w:r>
        <w:rPr>
          <w:rFonts w:hint="eastAsia" w:ascii="仿宋_GB2312" w:hAnsi="Calibri" w:eastAsia="仿宋_GB2312" w:cs="仿宋_GB2312"/>
          <w:b/>
          <w:bCs/>
          <w:sz w:val="32"/>
          <w:szCs w:val="32"/>
          <w:lang w:bidi="ar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2E"/>
    <w:rsid w:val="0004740A"/>
    <w:rsid w:val="00056B75"/>
    <w:rsid w:val="000F0E4A"/>
    <w:rsid w:val="000F4183"/>
    <w:rsid w:val="000F762E"/>
    <w:rsid w:val="001B15CE"/>
    <w:rsid w:val="001C493F"/>
    <w:rsid w:val="001D6142"/>
    <w:rsid w:val="00275F1A"/>
    <w:rsid w:val="002A4D94"/>
    <w:rsid w:val="002B4672"/>
    <w:rsid w:val="002C2B1F"/>
    <w:rsid w:val="002E6E34"/>
    <w:rsid w:val="00337235"/>
    <w:rsid w:val="003803FF"/>
    <w:rsid w:val="00386798"/>
    <w:rsid w:val="00402EEB"/>
    <w:rsid w:val="00436EF3"/>
    <w:rsid w:val="00460EA7"/>
    <w:rsid w:val="004B147A"/>
    <w:rsid w:val="00510138"/>
    <w:rsid w:val="0051081C"/>
    <w:rsid w:val="00537183"/>
    <w:rsid w:val="00590854"/>
    <w:rsid w:val="00643D67"/>
    <w:rsid w:val="00680440"/>
    <w:rsid w:val="006C3E95"/>
    <w:rsid w:val="007045FF"/>
    <w:rsid w:val="007C132B"/>
    <w:rsid w:val="007F6701"/>
    <w:rsid w:val="0083544B"/>
    <w:rsid w:val="00985023"/>
    <w:rsid w:val="00994757"/>
    <w:rsid w:val="009A19C8"/>
    <w:rsid w:val="00A01596"/>
    <w:rsid w:val="00A24964"/>
    <w:rsid w:val="00A73034"/>
    <w:rsid w:val="00A73A3F"/>
    <w:rsid w:val="00B35DEC"/>
    <w:rsid w:val="00BA44E0"/>
    <w:rsid w:val="00BD5606"/>
    <w:rsid w:val="00C130A0"/>
    <w:rsid w:val="00C74136"/>
    <w:rsid w:val="00C75D5A"/>
    <w:rsid w:val="00C810FA"/>
    <w:rsid w:val="00C96AAC"/>
    <w:rsid w:val="00CC5E0A"/>
    <w:rsid w:val="00D61AF1"/>
    <w:rsid w:val="00D673C1"/>
    <w:rsid w:val="00D80970"/>
    <w:rsid w:val="00DB752F"/>
    <w:rsid w:val="00DE2949"/>
    <w:rsid w:val="00E814E8"/>
    <w:rsid w:val="00F04907"/>
    <w:rsid w:val="00F4543F"/>
    <w:rsid w:val="00F51ED4"/>
    <w:rsid w:val="00F5439A"/>
    <w:rsid w:val="00F766D8"/>
    <w:rsid w:val="00FB0968"/>
    <w:rsid w:val="00FF7191"/>
    <w:rsid w:val="2D2D6525"/>
    <w:rsid w:val="2D62248E"/>
    <w:rsid w:val="38A938DE"/>
    <w:rsid w:val="402661E4"/>
    <w:rsid w:val="48CC2827"/>
    <w:rsid w:val="54A46014"/>
    <w:rsid w:val="705D0BD2"/>
    <w:rsid w:val="7FB2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HYZ</Company>
  <Pages>3</Pages>
  <Words>450</Words>
  <Characters>531</Characters>
  <Lines>36</Lines>
  <Paragraphs>10</Paragraphs>
  <TotalTime>2</TotalTime>
  <ScaleCrop>false</ScaleCrop>
  <LinksUpToDate>false</LinksUpToDate>
  <CharactersWithSpaces>533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2023-11-10T06:58:00Z</dcterms:created>
  <dc:creator>Angel</dc:creator>
  <cp:lastModifiedBy>哈尔滨幼儿师范高等专科学校</cp:lastModifiedBy>
  <dcterms:modified xsi:type="dcterms:W3CDTF">2025-07-04T05:37:28Z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eyJoZGlkIjoiNjQwODhmNTQ3YmEzNjgxZjk0NWMyNzZkMmQ2OGM1ODkiLCJ1c2VySWQiOiIxMjE5MTIwOTU0In0=</vt:lpwstr>
  </property>
  <property fmtid="{D5CDD505-2E9C-101B-9397-08002B2CF9AE}" pid="3" name="KSOProductBuildVer">
    <vt:lpwstr>2052-10.8.0.6423</vt:lpwstr>
  </property>
  <property fmtid="{D5CDD505-2E9C-101B-9397-08002B2CF9AE}" pid="4" name="ICV">
    <vt:lpwstr>3CA2780DAA254E0C888EFF360032C8C0_12</vt:lpwstr>
  </property>
</Properties>
</file>